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2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雨山区佳山乡</w:t>
      </w:r>
      <w:r>
        <w:rPr>
          <w:rFonts w:hint="eastAsia" w:cstheme="minorBidi"/>
          <w:color w:val="000000"/>
          <w:kern w:val="2"/>
          <w:sz w:val="24"/>
          <w:szCs w:val="24"/>
        </w:rPr>
        <w:t>人民政府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2024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年公开招聘村级后备干部公告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  <w:lang w:eastAsia="zh-CN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right="970" w:rightChars="441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right="970" w:rightChars="441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right="970" w:rightChars="441"/>
        <w:jc w:val="right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2024</w:t>
      </w:r>
      <w:r>
        <w:rPr>
          <w:rFonts w:hint="eastAsia"/>
          <w:color w:val="000000"/>
          <w:sz w:val="24"/>
          <w:szCs w:val="24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ABDD8A"/>
    <w:multiLevelType w:val="singleLevel"/>
    <w:tmpl w:val="50ABDD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1EDE"/>
    <w:rsid w:val="3F7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2024-03-18T02:36:00Z</dcterms:created>
  <dc:creator>lucky star</dc:creator>
  <cp:lastModifiedBy>lucky star</cp:lastModifiedBy>
  <dcterms:modified xsi:type="dcterms:W3CDTF">2024-03-18T02:36:50Z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C54F1908CDA449829C22C0804B7FDAB0</vt:lpwstr>
  </property>
</Properties>
</file>